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E9CF" w14:textId="55497A13" w:rsidR="00AE04F9" w:rsidRDefault="00AE04F9" w:rsidP="0096724B">
      <w:pPr>
        <w:spacing w:before="120" w:after="12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 w:rsidRPr="00E35FE2">
        <w:rPr>
          <w:rFonts w:ascii="Arial" w:hAnsi="Arial" w:cs="Arial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DD1BD1" wp14:editId="42B5DCFF">
                <wp:simplePos x="0" y="0"/>
                <wp:positionH relativeFrom="column">
                  <wp:posOffset>408940</wp:posOffset>
                </wp:positionH>
                <wp:positionV relativeFrom="paragraph">
                  <wp:posOffset>45720</wp:posOffset>
                </wp:positionV>
                <wp:extent cx="4552950" cy="30416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A7DE6" w14:textId="4A79F957" w:rsidR="00AE04F9" w:rsidRPr="00BF7387" w:rsidRDefault="00AE04F9" w:rsidP="00AE04F9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>Repeat Prescribing Guidelines</w:t>
                            </w:r>
                            <w:r w:rsidR="00625C30">
                              <w:rPr>
                                <w:b/>
                                <w:color w:val="262626" w:themeColor="text1" w:themeTint="D9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D1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3.6pt;width:358.5pt;height:2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" filled="f" stroked="f">
                <v:textbox style="mso-fit-shape-to-text:t" inset="0,0,0,0">
                  <w:txbxContent>
                    <w:p w14:paraId="1D7A7DE6" w14:textId="4A79F957" w:rsidR="00AE04F9" w:rsidRPr="00BF7387" w:rsidRDefault="00AE04F9" w:rsidP="00AE04F9">
                      <w:pPr>
                        <w:rPr>
                          <w:color w:val="262626" w:themeColor="text1" w:themeTint="D9"/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32"/>
                          <w:szCs w:val="28"/>
                        </w:rPr>
                        <w:t>Repeat Prescribing Guidelines</w:t>
                      </w:r>
                      <w:r w:rsidR="00625C30">
                        <w:rPr>
                          <w:b/>
                          <w:color w:val="262626" w:themeColor="text1" w:themeTint="D9"/>
                          <w:sz w:val="32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35FE2">
        <w:rPr>
          <w:rFonts w:ascii="Arial" w:hAnsi="Arial" w:cs="Arial"/>
          <w:b/>
          <w:noProof/>
          <w:sz w:val="28"/>
          <w:szCs w:val="28"/>
          <w:lang w:eastAsia="en-NZ"/>
        </w:rPr>
        <w:drawing>
          <wp:anchor distT="0" distB="0" distL="114300" distR="114300" simplePos="0" relativeHeight="251659264" behindDoc="0" locked="0" layoutInCell="1" allowOverlap="1" wp14:anchorId="03E89A9C" wp14:editId="49FC071A">
            <wp:simplePos x="0" y="0"/>
            <wp:positionH relativeFrom="column">
              <wp:posOffset>0</wp:posOffset>
            </wp:positionH>
            <wp:positionV relativeFrom="paragraph">
              <wp:posOffset>-19685</wp:posOffset>
            </wp:positionV>
            <wp:extent cx="408940" cy="4089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Doc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FD29A" w14:textId="438DDD44" w:rsidR="0096724B" w:rsidRDefault="0096724B" w:rsidP="0096724B">
      <w:pPr>
        <w:spacing w:before="120" w:after="12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</w:p>
    <w:p w14:paraId="188C529C" w14:textId="7F0744CA" w:rsidR="005B6AF3" w:rsidRDefault="00E370D8" w:rsidP="00E370D8">
      <w:pPr>
        <w:jc w:val="center"/>
        <w:rPr>
          <w:color w:val="C00000"/>
        </w:rPr>
      </w:pPr>
      <w:r w:rsidRPr="000C72F6">
        <w:rPr>
          <w:color w:val="C00000"/>
        </w:rPr>
        <w:t xml:space="preserve">This document </w:t>
      </w:r>
      <w:r w:rsidR="00F83DF1">
        <w:rPr>
          <w:color w:val="C00000"/>
        </w:rPr>
        <w:t xml:space="preserve">gives an example of clinical guidelines </w:t>
      </w:r>
      <w:r w:rsidR="00FD4C53">
        <w:rPr>
          <w:color w:val="C00000"/>
        </w:rPr>
        <w:t>for repeat prescriptions. These s</w:t>
      </w:r>
      <w:r w:rsidR="00F83DF1">
        <w:rPr>
          <w:color w:val="C00000"/>
        </w:rPr>
        <w:t>hould be checked and amended by the practice. The practice is responsible for doing due diligence to determine whether this information aligns with current best practice.</w:t>
      </w:r>
    </w:p>
    <w:p w14:paraId="61181C8B" w14:textId="40AF1381" w:rsidR="00E370D8" w:rsidRPr="000C72F6" w:rsidRDefault="00FD4C53" w:rsidP="00E370D8">
      <w:pPr>
        <w:jc w:val="center"/>
        <w:rPr>
          <w:color w:val="C00000"/>
          <w:lang w:val="mi-NZ"/>
        </w:rPr>
      </w:pPr>
      <w:r>
        <w:rPr>
          <w:color w:val="C00000"/>
        </w:rPr>
        <w:t>Remove the red text and e</w:t>
      </w:r>
      <w:r w:rsidR="005B6AF3">
        <w:rPr>
          <w:color w:val="C00000"/>
        </w:rPr>
        <w:t xml:space="preserve">mail your updated document (or your own document) </w:t>
      </w:r>
      <w:r w:rsidR="000C72F6">
        <w:rPr>
          <w:color w:val="C00000"/>
        </w:rPr>
        <w:t>to</w:t>
      </w:r>
      <w:r w:rsidR="00E370D8" w:rsidRPr="000C72F6">
        <w:rPr>
          <w:color w:val="C00000"/>
        </w:rPr>
        <w:t xml:space="preserve"> support@gpdocs.co.nz.</w:t>
      </w:r>
    </w:p>
    <w:p w14:paraId="5CD1B9EB" w14:textId="77777777" w:rsidR="005104A7" w:rsidRDefault="005104A7" w:rsidP="00F83DF1">
      <w:pPr>
        <w:spacing w:before="60" w:after="0" w:line="240" w:lineRule="auto"/>
        <w:textAlignment w:val="baseline"/>
        <w:rPr>
          <w:rFonts w:eastAsia="Times New Roman" w:cstheme="minorHAnsi"/>
          <w:b/>
          <w:bCs/>
          <w:color w:val="4D4D4F"/>
          <w:lang w:eastAsia="en-NZ"/>
        </w:rPr>
      </w:pPr>
    </w:p>
    <w:p w14:paraId="72C94A2C" w14:textId="4FB84F68" w:rsidR="005104A7" w:rsidRDefault="00FD4C53" w:rsidP="00F83DF1">
      <w:pPr>
        <w:spacing w:before="60" w:after="0" w:line="240" w:lineRule="auto"/>
        <w:textAlignment w:val="baseline"/>
        <w:rPr>
          <w:rFonts w:eastAsia="Times New Roman" w:cstheme="minorHAnsi"/>
          <w:b/>
          <w:bCs/>
          <w:color w:val="4D4D4F"/>
          <w:lang w:eastAsia="en-NZ"/>
        </w:rPr>
      </w:pPr>
      <w:r>
        <w:rPr>
          <w:rFonts w:eastAsia="Times New Roman" w:cstheme="minorHAnsi"/>
          <w:b/>
          <w:bCs/>
          <w:color w:val="4D4D4F"/>
          <w:lang w:eastAsia="en-NZ"/>
        </w:rPr>
        <w:t>Overarching guidelines:</w:t>
      </w:r>
    </w:p>
    <w:p w14:paraId="46471317" w14:textId="0E55AE1E" w:rsidR="00FD4C53" w:rsidRDefault="00FD4C53" w:rsidP="00FD4C53">
      <w:pPr>
        <w:pStyle w:val="ListParagraph"/>
        <w:numPr>
          <w:ilvl w:val="0"/>
          <w:numId w:val="9"/>
        </w:numPr>
        <w:spacing w:before="60" w:after="0" w:line="240" w:lineRule="auto"/>
        <w:textAlignment w:val="baseline"/>
        <w:rPr>
          <w:lang w:eastAsia="en-NZ"/>
        </w:rPr>
      </w:pPr>
      <w:r w:rsidRPr="00FD4C53">
        <w:t xml:space="preserve">Multiple </w:t>
      </w:r>
      <w:r>
        <w:t>medications</w:t>
      </w:r>
      <w:r w:rsidRPr="00FD4C53">
        <w:t xml:space="preserve">: </w:t>
      </w:r>
      <w:proofErr w:type="gramStart"/>
      <w:r w:rsidRPr="00FD4C53">
        <w:t>6 month</w:t>
      </w:r>
      <w:proofErr w:type="gramEnd"/>
      <w:r w:rsidRPr="00FD4C53">
        <w:t xml:space="preserve"> review</w:t>
      </w:r>
    </w:p>
    <w:p w14:paraId="6BB9762B" w14:textId="24012D68" w:rsidR="00FD4C53" w:rsidRDefault="00FD4C53" w:rsidP="00FD4C53">
      <w:pPr>
        <w:pStyle w:val="ListParagraph"/>
        <w:numPr>
          <w:ilvl w:val="0"/>
          <w:numId w:val="9"/>
        </w:numPr>
        <w:spacing w:before="60" w:after="0" w:line="240" w:lineRule="auto"/>
        <w:textAlignment w:val="baseline"/>
        <w:rPr>
          <w:lang w:eastAsia="en-NZ"/>
        </w:rPr>
      </w:pPr>
      <w:proofErr w:type="gramStart"/>
      <w:r>
        <w:t>Newly-enrolled</w:t>
      </w:r>
      <w:proofErr w:type="gramEnd"/>
      <w:r>
        <w:t xml:space="preserve"> patients on complex medications: Initial consultation needed</w:t>
      </w:r>
    </w:p>
    <w:p w14:paraId="5EA1F91B" w14:textId="3F7E964A" w:rsidR="00FD4C53" w:rsidRPr="00FD4C53" w:rsidRDefault="00FD4C53" w:rsidP="00FD4C53">
      <w:pPr>
        <w:pStyle w:val="ListParagraph"/>
        <w:numPr>
          <w:ilvl w:val="0"/>
          <w:numId w:val="9"/>
        </w:numPr>
        <w:spacing w:before="60" w:after="0" w:line="240" w:lineRule="auto"/>
        <w:textAlignment w:val="baseline"/>
        <w:rPr>
          <w:lang w:eastAsia="en-NZ"/>
        </w:rPr>
      </w:pPr>
      <w:proofErr w:type="gramStart"/>
      <w:r>
        <w:rPr>
          <w:lang w:eastAsia="en-NZ"/>
        </w:rPr>
        <w:t>Newly-prescribed</w:t>
      </w:r>
      <w:proofErr w:type="gramEnd"/>
      <w:r>
        <w:rPr>
          <w:lang w:eastAsia="en-NZ"/>
        </w:rPr>
        <w:t xml:space="preserve"> medications: As per original prescriber’s plan</w:t>
      </w:r>
    </w:p>
    <w:p w14:paraId="5DF3D8E5" w14:textId="77777777" w:rsidR="005104A7" w:rsidRDefault="005104A7" w:rsidP="00F83DF1">
      <w:pPr>
        <w:spacing w:before="60" w:after="0" w:line="240" w:lineRule="auto"/>
        <w:textAlignment w:val="baseline"/>
        <w:rPr>
          <w:rFonts w:eastAsia="Times New Roman" w:cstheme="minorHAnsi"/>
          <w:b/>
          <w:bCs/>
          <w:color w:val="4D4D4F"/>
          <w:lang w:eastAsia="en-NZ"/>
        </w:rPr>
      </w:pPr>
    </w:p>
    <w:p w14:paraId="5205ADDD" w14:textId="058D2E15" w:rsidR="0096724B" w:rsidRPr="00F83DF1" w:rsidRDefault="00FD4C53" w:rsidP="00F83DF1">
      <w:pPr>
        <w:spacing w:before="60" w:after="0" w:line="240" w:lineRule="auto"/>
        <w:textAlignment w:val="baseline"/>
        <w:rPr>
          <w:rFonts w:eastAsia="Times New Roman" w:cstheme="minorHAnsi"/>
          <w:b/>
          <w:bCs/>
          <w:color w:val="4D4D4F"/>
          <w:lang w:eastAsia="en-NZ"/>
        </w:rPr>
      </w:pPr>
      <w:r>
        <w:rPr>
          <w:rFonts w:eastAsia="Times New Roman" w:cstheme="minorHAnsi"/>
          <w:b/>
          <w:bCs/>
          <w:color w:val="4D4D4F"/>
          <w:lang w:eastAsia="en-NZ"/>
        </w:rPr>
        <w:t xml:space="preserve">To be eligible </w:t>
      </w:r>
      <w:r w:rsidR="00F83DF1" w:rsidRPr="00F83DF1">
        <w:rPr>
          <w:rFonts w:eastAsia="Times New Roman" w:cstheme="minorHAnsi"/>
          <w:b/>
          <w:bCs/>
          <w:color w:val="4D4D4F"/>
          <w:lang w:eastAsia="en-NZ"/>
        </w:rPr>
        <w:t>for 12-month prescription repeats</w:t>
      </w:r>
      <w:r w:rsidR="00367D41">
        <w:rPr>
          <w:rFonts w:eastAsia="Times New Roman" w:cstheme="minorHAnsi"/>
          <w:b/>
          <w:bCs/>
          <w:color w:val="4D4D4F"/>
          <w:lang w:eastAsia="en-NZ"/>
        </w:rPr>
        <w:t xml:space="preserve"> (from February 2026)</w:t>
      </w:r>
      <w:r>
        <w:rPr>
          <w:rFonts w:eastAsia="Times New Roman" w:cstheme="minorHAnsi"/>
          <w:b/>
          <w:bCs/>
          <w:color w:val="4D4D4F"/>
          <w:lang w:eastAsia="en-NZ"/>
        </w:rPr>
        <w:t>:</w:t>
      </w:r>
    </w:p>
    <w:p w14:paraId="630B70AA" w14:textId="7B4F8400" w:rsidR="00F83DF1" w:rsidRDefault="00FD4C53" w:rsidP="00F83DF1">
      <w:pPr>
        <w:pStyle w:val="ListParagraph"/>
        <w:numPr>
          <w:ilvl w:val="0"/>
          <w:numId w:val="7"/>
        </w:numPr>
        <w:spacing w:before="60" w:after="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>
        <w:rPr>
          <w:rFonts w:eastAsia="Times New Roman" w:cstheme="minorHAnsi"/>
          <w:color w:val="4D4D4F"/>
          <w:lang w:eastAsia="en-NZ"/>
        </w:rPr>
        <w:t>Patient’s c</w:t>
      </w:r>
      <w:r w:rsidR="00F83DF1">
        <w:rPr>
          <w:rFonts w:eastAsia="Times New Roman" w:cstheme="minorHAnsi"/>
          <w:color w:val="4D4D4F"/>
          <w:lang w:eastAsia="en-NZ"/>
        </w:rPr>
        <w:t xml:space="preserve">ondition and medication dose </w:t>
      </w:r>
      <w:r>
        <w:rPr>
          <w:rFonts w:eastAsia="Times New Roman" w:cstheme="minorHAnsi"/>
          <w:color w:val="4D4D4F"/>
          <w:lang w:eastAsia="en-NZ"/>
        </w:rPr>
        <w:t xml:space="preserve">must </w:t>
      </w:r>
      <w:r w:rsidR="00F83DF1">
        <w:rPr>
          <w:rFonts w:eastAsia="Times New Roman" w:cstheme="minorHAnsi"/>
          <w:color w:val="4D4D4F"/>
          <w:lang w:eastAsia="en-NZ"/>
        </w:rPr>
        <w:t>ha</w:t>
      </w:r>
      <w:r>
        <w:rPr>
          <w:rFonts w:eastAsia="Times New Roman" w:cstheme="minorHAnsi"/>
          <w:color w:val="4D4D4F"/>
          <w:lang w:eastAsia="en-NZ"/>
        </w:rPr>
        <w:t>ve</w:t>
      </w:r>
      <w:r w:rsidR="00F83DF1">
        <w:rPr>
          <w:rFonts w:eastAsia="Times New Roman" w:cstheme="minorHAnsi"/>
          <w:color w:val="4D4D4F"/>
          <w:lang w:eastAsia="en-NZ"/>
        </w:rPr>
        <w:t xml:space="preserve"> been stable for at least 6 months</w:t>
      </w:r>
    </w:p>
    <w:p w14:paraId="6A210EAE" w14:textId="7D77D388" w:rsidR="00F83DF1" w:rsidRDefault="00FD4C53" w:rsidP="00F83DF1">
      <w:pPr>
        <w:pStyle w:val="ListParagraph"/>
        <w:numPr>
          <w:ilvl w:val="0"/>
          <w:numId w:val="7"/>
        </w:numPr>
        <w:spacing w:before="60" w:after="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>
        <w:rPr>
          <w:rFonts w:eastAsia="Times New Roman" w:cstheme="minorHAnsi"/>
          <w:color w:val="4D4D4F"/>
          <w:lang w:eastAsia="en-NZ"/>
        </w:rPr>
        <w:t>R</w:t>
      </w:r>
      <w:r w:rsidR="00F83DF1">
        <w:rPr>
          <w:rFonts w:eastAsia="Times New Roman" w:cstheme="minorHAnsi"/>
          <w:color w:val="4D4D4F"/>
          <w:lang w:eastAsia="en-NZ"/>
        </w:rPr>
        <w:t>egular monitoring (e.g. blood tests or blood pressure tests) isn’t needed</w:t>
      </w:r>
    </w:p>
    <w:p w14:paraId="50CCE52A" w14:textId="521B93B1" w:rsidR="00F83DF1" w:rsidRDefault="00FD4C53" w:rsidP="00F83DF1">
      <w:pPr>
        <w:pStyle w:val="ListParagraph"/>
        <w:numPr>
          <w:ilvl w:val="0"/>
          <w:numId w:val="7"/>
        </w:numPr>
        <w:spacing w:before="60" w:after="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>
        <w:rPr>
          <w:rFonts w:eastAsia="Times New Roman" w:cstheme="minorHAnsi"/>
          <w:color w:val="4D4D4F"/>
          <w:lang w:eastAsia="en-NZ"/>
        </w:rPr>
        <w:t>M</w:t>
      </w:r>
      <w:r w:rsidR="00F83DF1">
        <w:rPr>
          <w:rFonts w:eastAsia="Times New Roman" w:cstheme="minorHAnsi"/>
          <w:color w:val="4D4D4F"/>
          <w:lang w:eastAsia="en-NZ"/>
        </w:rPr>
        <w:t xml:space="preserve">edicine </w:t>
      </w:r>
      <w:r>
        <w:rPr>
          <w:rFonts w:eastAsia="Times New Roman" w:cstheme="minorHAnsi"/>
          <w:color w:val="4D4D4F"/>
          <w:lang w:eastAsia="en-NZ"/>
        </w:rPr>
        <w:t>must be</w:t>
      </w:r>
      <w:r w:rsidR="00F83DF1">
        <w:rPr>
          <w:rFonts w:eastAsia="Times New Roman" w:cstheme="minorHAnsi"/>
          <w:color w:val="4D4D4F"/>
          <w:lang w:eastAsia="en-NZ"/>
        </w:rPr>
        <w:t xml:space="preserve"> approved for 12-month prescribing</w:t>
      </w:r>
    </w:p>
    <w:p w14:paraId="4291349C" w14:textId="542BDAF4" w:rsidR="00F83DF1" w:rsidRPr="00F83DF1" w:rsidRDefault="00FD4C53" w:rsidP="00F83DF1">
      <w:pPr>
        <w:pStyle w:val="ListParagraph"/>
        <w:numPr>
          <w:ilvl w:val="0"/>
          <w:numId w:val="7"/>
        </w:numPr>
        <w:spacing w:before="60" w:after="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>
        <w:rPr>
          <w:rFonts w:eastAsia="Times New Roman" w:cstheme="minorHAnsi"/>
          <w:color w:val="4D4D4F"/>
          <w:lang w:eastAsia="en-NZ"/>
        </w:rPr>
        <w:t>P</w:t>
      </w:r>
      <w:r w:rsidR="00F83DF1">
        <w:rPr>
          <w:rFonts w:eastAsia="Times New Roman" w:cstheme="minorHAnsi"/>
          <w:color w:val="4D4D4F"/>
          <w:lang w:eastAsia="en-NZ"/>
        </w:rPr>
        <w:t xml:space="preserve">atient </w:t>
      </w:r>
      <w:r>
        <w:rPr>
          <w:rFonts w:eastAsia="Times New Roman" w:cstheme="minorHAnsi"/>
          <w:color w:val="4D4D4F"/>
          <w:lang w:eastAsia="en-NZ"/>
        </w:rPr>
        <w:t xml:space="preserve">must </w:t>
      </w:r>
      <w:r w:rsidR="00F83DF1">
        <w:rPr>
          <w:rFonts w:eastAsia="Times New Roman" w:cstheme="minorHAnsi"/>
          <w:color w:val="4D4D4F"/>
          <w:lang w:eastAsia="en-NZ"/>
        </w:rPr>
        <w:t>agree to a yearly in-person review.</w:t>
      </w:r>
    </w:p>
    <w:p w14:paraId="1C894BE9" w14:textId="77777777" w:rsidR="00F83DF1" w:rsidRPr="00F83DF1" w:rsidRDefault="00F83DF1" w:rsidP="00F83DF1">
      <w:pPr>
        <w:spacing w:before="60" w:after="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</w:p>
    <w:p w14:paraId="0D13110C" w14:textId="663771F4" w:rsidR="0096724B" w:rsidRPr="0096724B" w:rsidRDefault="0096724B" w:rsidP="0096724B">
      <w:pPr>
        <w:spacing w:before="120" w:after="120" w:line="240" w:lineRule="auto"/>
        <w:textAlignment w:val="baseline"/>
        <w:rPr>
          <w:rFonts w:eastAsia="Times New Roman" w:cstheme="minorHAnsi"/>
          <w:color w:val="4D4D4F"/>
          <w:lang w:eastAsia="en-NZ"/>
        </w:rPr>
      </w:pPr>
      <w:r w:rsidRPr="0096724B">
        <w:rPr>
          <w:rFonts w:eastAsia="Times New Roman" w:cstheme="minorHAnsi"/>
          <w:color w:val="4D4D4F"/>
          <w:lang w:eastAsia="en-NZ"/>
        </w:rPr>
        <w:t>The</w:t>
      </w:r>
      <w:r w:rsidR="00D9658D">
        <w:rPr>
          <w:rFonts w:eastAsia="Times New Roman" w:cstheme="minorHAnsi"/>
          <w:color w:val="4D4D4F"/>
          <w:lang w:eastAsia="en-NZ"/>
        </w:rPr>
        <w:t>se</w:t>
      </w:r>
      <w:r w:rsidR="00E370D8">
        <w:rPr>
          <w:rFonts w:eastAsia="Times New Roman" w:cstheme="minorHAnsi"/>
          <w:color w:val="4D4D4F"/>
          <w:lang w:eastAsia="en-NZ"/>
        </w:rPr>
        <w:t xml:space="preserve"> guidelines </w:t>
      </w:r>
      <w:r w:rsidRPr="0096724B">
        <w:rPr>
          <w:rFonts w:eastAsia="Times New Roman" w:cstheme="minorHAnsi"/>
          <w:color w:val="4D4D4F"/>
          <w:lang w:eastAsia="en-NZ"/>
        </w:rPr>
        <w:t xml:space="preserve">may be overridden </w:t>
      </w:r>
      <w:r w:rsidR="00D9658D">
        <w:rPr>
          <w:rFonts w:eastAsia="Times New Roman" w:cstheme="minorHAnsi"/>
          <w:color w:val="4D4D4F"/>
          <w:lang w:eastAsia="en-NZ"/>
        </w:rPr>
        <w:t>at</w:t>
      </w:r>
      <w:r w:rsidRPr="0096724B">
        <w:rPr>
          <w:rFonts w:eastAsia="Times New Roman" w:cstheme="minorHAnsi"/>
          <w:color w:val="4D4D4F"/>
          <w:lang w:eastAsia="en-NZ"/>
        </w:rPr>
        <w:t xml:space="preserve"> the </w:t>
      </w:r>
      <w:r w:rsidR="00D9658D">
        <w:rPr>
          <w:rFonts w:eastAsia="Times New Roman" w:cstheme="minorHAnsi"/>
          <w:color w:val="4D4D4F"/>
          <w:lang w:eastAsia="en-NZ"/>
        </w:rPr>
        <w:t xml:space="preserve">discretion of the </w:t>
      </w:r>
      <w:r w:rsidRPr="0096724B">
        <w:rPr>
          <w:rFonts w:eastAsia="Times New Roman" w:cstheme="minorHAnsi"/>
          <w:color w:val="4D4D4F"/>
          <w:lang w:eastAsia="en-NZ"/>
        </w:rPr>
        <w:t>prescrib</w:t>
      </w:r>
      <w:r w:rsidR="00FD4C53">
        <w:rPr>
          <w:rFonts w:eastAsia="Times New Roman" w:cstheme="minorHAnsi"/>
          <w:color w:val="4D4D4F"/>
          <w:lang w:eastAsia="en-NZ"/>
        </w:rPr>
        <w:t>er.</w:t>
      </w:r>
    </w:p>
    <w:tbl>
      <w:tblPr>
        <w:tblW w:w="902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7"/>
        <w:gridCol w:w="5589"/>
      </w:tblGrid>
      <w:tr w:rsidR="0096724B" w:rsidRPr="0096724B" w14:paraId="18386418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shd w:val="clear" w:color="auto" w:fill="CAE2F5"/>
            <w:hideMark/>
          </w:tcPr>
          <w:p w14:paraId="2F81B9B9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b/>
                <w:bCs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Condition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shd w:val="clear" w:color="auto" w:fill="CAE2F5"/>
            <w:hideMark/>
          </w:tcPr>
          <w:p w14:paraId="1EBEC92C" w14:textId="5A456FDA" w:rsidR="0096724B" w:rsidRPr="0096724B" w:rsidRDefault="005C4C16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b/>
                <w:bCs/>
                <w:color w:val="4D4D4F"/>
                <w:lang w:eastAsia="en-NZ"/>
              </w:rPr>
            </w:pP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 xml:space="preserve">Frequency of </w:t>
            </w:r>
            <w:r w:rsidR="005104A7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 xml:space="preserve">face-to-face </w:t>
            </w: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consultations</w:t>
            </w:r>
          </w:p>
        </w:tc>
      </w:tr>
      <w:tr w:rsidR="005C4C16" w:rsidRPr="0096724B" w14:paraId="077F1309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4664AEA8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Acne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1F8D36E1" w14:textId="58CCEC0D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6–12 months</w:t>
            </w:r>
          </w:p>
        </w:tc>
      </w:tr>
      <w:tr w:rsidR="005C4C16" w:rsidRPr="0096724B" w14:paraId="5F721DAA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3109E3B6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Asthma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5107D372" w14:textId="50195658" w:rsid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3</w:t>
            </w:r>
            <w:r w:rsidR="005104A7">
              <w:rPr>
                <w:rFonts w:eastAsia="Times New Roman" w:cstheme="minorHAnsi"/>
                <w:color w:val="4D4D4F"/>
                <w:lang w:eastAsia="en-NZ"/>
              </w:rPr>
              <w:t xml:space="preserve"> months if moderate or severe</w:t>
            </w:r>
          </w:p>
          <w:p w14:paraId="2A6E2AF1" w14:textId="124E9909" w:rsidR="005104A7" w:rsidRPr="0096724B" w:rsidRDefault="005104A7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12 months if mild and well-controlled</w:t>
            </w:r>
          </w:p>
        </w:tc>
      </w:tr>
      <w:tr w:rsidR="005C4C16" w:rsidRPr="0096724B" w14:paraId="295E8F88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37E8F2DA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Congestive heart failure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7EB964D7" w14:textId="22C7747F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3 months</w:t>
            </w:r>
          </w:p>
        </w:tc>
      </w:tr>
      <w:tr w:rsidR="005C4C16" w:rsidRPr="0096724B" w14:paraId="3C0EC9DB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2BB51EF6" w14:textId="5343A7E5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COPD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2DF57178" w14:textId="49D25F76" w:rsidR="0096724B" w:rsidRPr="0096724B" w:rsidRDefault="0096724B" w:rsidP="005C4C16">
            <w:pPr>
              <w:spacing w:after="0" w:line="240" w:lineRule="auto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3</w:t>
            </w:r>
            <w:r w:rsidRPr="0096724B">
              <w:rPr>
                <w:rFonts w:eastAsia="Times New Roman" w:cstheme="minorHAnsi"/>
                <w:color w:val="4D4D4F"/>
                <w:lang w:eastAsia="en-NZ"/>
              </w:rPr>
              <w:t>–</w:t>
            </w:r>
            <w:r>
              <w:rPr>
                <w:rFonts w:eastAsia="Times New Roman" w:cstheme="minorHAnsi"/>
                <w:color w:val="4D4D4F"/>
                <w:lang w:eastAsia="en-NZ"/>
              </w:rPr>
              <w:t>6 months, depending on level of symptoms</w:t>
            </w:r>
          </w:p>
        </w:tc>
      </w:tr>
      <w:tr w:rsidR="005C4C16" w:rsidRPr="0096724B" w14:paraId="317372BC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38D96074" w14:textId="1C74AEAC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E</w:t>
            </w: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czema</w:t>
            </w: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/</w:t>
            </w: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dermatitis</w:t>
            </w:r>
            <w:r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/</w:t>
            </w: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psoriasis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0656226D" w14:textId="105641C5" w:rsidR="0096724B" w:rsidRPr="0096724B" w:rsidRDefault="00625C30" w:rsidP="005C4C16">
            <w:pPr>
              <w:spacing w:after="0" w:line="240" w:lineRule="auto"/>
              <w:ind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6–12 months</w:t>
            </w:r>
          </w:p>
        </w:tc>
      </w:tr>
      <w:tr w:rsidR="005C4C16" w:rsidRPr="0096724B" w14:paraId="30CB7D5A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3505668C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Depo Provera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2B3BD0F1" w14:textId="1DEF5249" w:rsidR="0096724B" w:rsidRPr="0096724B" w:rsidRDefault="00183BB8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12</w:t>
            </w:r>
            <w:r w:rsidR="0096724B" w:rsidRPr="0096724B">
              <w:rPr>
                <w:rFonts w:eastAsia="Times New Roman" w:cstheme="minorHAnsi"/>
                <w:color w:val="4D4D4F"/>
                <w:lang w:eastAsia="en-NZ"/>
              </w:rPr>
              <w:t xml:space="preserve"> months</w:t>
            </w:r>
          </w:p>
        </w:tc>
      </w:tr>
      <w:tr w:rsidR="005C4C16" w:rsidRPr="0096724B" w14:paraId="59670562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0994AA55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Diabetes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2757410B" w14:textId="3AC50F99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3–6 months</w:t>
            </w:r>
          </w:p>
        </w:tc>
      </w:tr>
      <w:tr w:rsidR="005C4C16" w:rsidRPr="0096724B" w14:paraId="67CBEC50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604657E4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Depression – stable, chronic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05A6B720" w14:textId="53FB12CC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</w:t>
            </w:r>
            <w:r w:rsidR="00625C30">
              <w:rPr>
                <w:rFonts w:eastAsia="Times New Roman" w:cstheme="minorHAnsi"/>
                <w:color w:val="4D4D4F"/>
                <w:lang w:eastAsia="en-NZ"/>
              </w:rPr>
              <w:br w:type="column"/>
              <w:t>–12</w:t>
            </w:r>
            <w:r w:rsidRPr="0096724B">
              <w:rPr>
                <w:rFonts w:eastAsia="Times New Roman" w:cstheme="minorHAnsi"/>
                <w:color w:val="4D4D4F"/>
                <w:lang w:eastAsia="en-NZ"/>
              </w:rPr>
              <w:t xml:space="preserve"> month</w:t>
            </w:r>
            <w:r w:rsidR="00625C30">
              <w:rPr>
                <w:rFonts w:eastAsia="Times New Roman" w:cstheme="minorHAnsi"/>
                <w:color w:val="4D4D4F"/>
                <w:lang w:eastAsia="en-NZ"/>
              </w:rPr>
              <w:t>ly</w:t>
            </w:r>
          </w:p>
        </w:tc>
      </w:tr>
      <w:tr w:rsidR="005C4C16" w:rsidRPr="0096724B" w14:paraId="3521C8CD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1535A0EB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Epilepsy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456B0168" w14:textId="75B64213" w:rsidR="0096724B" w:rsidRPr="0096724B" w:rsidRDefault="0096724B" w:rsidP="005C4C16">
            <w:pPr>
              <w:spacing w:after="0" w:line="240" w:lineRule="auto"/>
              <w:ind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 months</w:t>
            </w:r>
          </w:p>
        </w:tc>
      </w:tr>
      <w:tr w:rsidR="005C4C16" w:rsidRPr="0096724B" w14:paraId="432AA7C2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6C212807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Gastro-oesophageal reflux disease</w:t>
            </w:r>
          </w:p>
          <w:p w14:paraId="4F09804A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– asymptomatic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3A8B7884" w14:textId="7A69756A" w:rsidR="0096724B" w:rsidRPr="0096724B" w:rsidRDefault="0096724B" w:rsidP="005C4C16">
            <w:pPr>
              <w:spacing w:after="0" w:line="240" w:lineRule="auto"/>
              <w:ind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 months</w:t>
            </w:r>
          </w:p>
          <w:p w14:paraId="139B2D6F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 </w:t>
            </w:r>
          </w:p>
        </w:tc>
      </w:tr>
      <w:tr w:rsidR="005C4C16" w:rsidRPr="0096724B" w14:paraId="77845A8A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56728C4D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Gout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037D431D" w14:textId="0D858255" w:rsidR="0096724B" w:rsidRPr="0096724B" w:rsidRDefault="0096724B" w:rsidP="005C4C16">
            <w:pPr>
              <w:spacing w:after="0" w:line="240" w:lineRule="auto"/>
              <w:ind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6–12 months</w:t>
            </w:r>
          </w:p>
        </w:tc>
      </w:tr>
      <w:tr w:rsidR="005C4C16" w:rsidRPr="0096724B" w14:paraId="58D49A8E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2B926A61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Hypertension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2266B258" w14:textId="0DF4AEB1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6 months (unless unstable), blood pressure every 3 months</w:t>
            </w:r>
          </w:p>
        </w:tc>
      </w:tr>
      <w:tr w:rsidR="005C4C16" w:rsidRPr="0096724B" w14:paraId="4EF5E24F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6F3A2974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Hypothyroidism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25552840" w14:textId="5DAAEBD8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6–12 months</w:t>
            </w:r>
          </w:p>
        </w:tc>
      </w:tr>
      <w:tr w:rsidR="005C4C16" w:rsidRPr="0096724B" w14:paraId="5089F388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49F7E058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Ischaemic heart disease</w:t>
            </w:r>
          </w:p>
          <w:p w14:paraId="45665C2C" w14:textId="429B4B72" w:rsidR="0096724B" w:rsidRPr="0096724B" w:rsidRDefault="0096724B" w:rsidP="005C4C16">
            <w:pPr>
              <w:spacing w:after="0" w:line="240" w:lineRule="auto"/>
              <w:ind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4532FFBE" w14:textId="65E1B01A" w:rsidR="0096724B" w:rsidRPr="0096724B" w:rsidRDefault="0096724B" w:rsidP="005C4C16">
            <w:pPr>
              <w:spacing w:after="0" w:line="240" w:lineRule="auto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rFonts w:eastAsia="Times New Roman" w:cstheme="minorHAnsi"/>
                <w:color w:val="4D4D4F"/>
                <w:lang w:eastAsia="en-NZ"/>
              </w:rPr>
              <w:t>3</w:t>
            </w:r>
            <w:r w:rsidRPr="0096724B">
              <w:rPr>
                <w:rFonts w:eastAsia="Times New Roman" w:cstheme="minorHAnsi"/>
                <w:color w:val="4D4D4F"/>
                <w:lang w:eastAsia="en-NZ"/>
              </w:rPr>
              <w:t>–</w:t>
            </w:r>
            <w:r>
              <w:rPr>
                <w:rFonts w:eastAsia="Times New Roman" w:cstheme="minorHAnsi"/>
                <w:color w:val="4D4D4F"/>
                <w:lang w:eastAsia="en-NZ"/>
              </w:rPr>
              <w:t>6 months, depending on level of symptoms</w:t>
            </w:r>
          </w:p>
        </w:tc>
      </w:tr>
      <w:tr w:rsidR="005C4C16" w:rsidRPr="0096724B" w14:paraId="521908E5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575078F4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Long-term pain medication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453D0C98" w14:textId="561E7429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Review every </w:t>
            </w:r>
            <w:r w:rsidRPr="0096724B">
              <w:rPr>
                <w:lang w:eastAsia="en-NZ"/>
              </w:rPr>
              <w:t>6 months</w:t>
            </w:r>
            <w:r w:rsidRPr="0096724B">
              <w:rPr>
                <w:rFonts w:eastAsia="Times New Roman" w:cstheme="minorHAnsi"/>
                <w:color w:val="4D4D4F"/>
                <w:lang w:eastAsia="en-NZ"/>
              </w:rPr>
              <w:t> with clinician or specialist</w:t>
            </w:r>
          </w:p>
        </w:tc>
      </w:tr>
      <w:tr w:rsidR="005C4C16" w:rsidRPr="0096724B" w14:paraId="46D464EE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257725B1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Menopause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66EDAB60" w14:textId="58DD8C64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6</w:t>
            </w:r>
            <w:r w:rsidR="005104A7">
              <w:rPr>
                <w:rFonts w:eastAsia="Times New Roman" w:cstheme="minorHAnsi"/>
                <w:color w:val="4D4D4F"/>
                <w:lang w:eastAsia="en-NZ"/>
              </w:rPr>
              <w:t>–12</w:t>
            </w:r>
            <w:r w:rsidRPr="0096724B">
              <w:rPr>
                <w:rFonts w:eastAsia="Times New Roman" w:cstheme="minorHAnsi"/>
                <w:color w:val="4D4D4F"/>
                <w:lang w:eastAsia="en-NZ"/>
              </w:rPr>
              <w:t xml:space="preserve"> months</w:t>
            </w:r>
          </w:p>
        </w:tc>
      </w:tr>
      <w:tr w:rsidR="005C4C16" w:rsidRPr="0096724B" w14:paraId="6179871D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5D30DD3E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Oral contraceptive pill (OCP)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36A48B1C" w14:textId="3B3362C5" w:rsidR="0096724B" w:rsidRPr="0096724B" w:rsidRDefault="005104A7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>
              <w:rPr>
                <w:lang w:eastAsia="en-NZ"/>
              </w:rPr>
              <w:t>12</w:t>
            </w:r>
            <w:r w:rsidR="0096724B" w:rsidRPr="0096724B">
              <w:rPr>
                <w:lang w:eastAsia="en-NZ"/>
              </w:rPr>
              <w:t xml:space="preserve"> months</w:t>
            </w:r>
          </w:p>
        </w:tc>
      </w:tr>
      <w:tr w:rsidR="005C4C16" w:rsidRPr="0096724B" w14:paraId="3E20001E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0E414A7D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Parkinson's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79D366E9" w14:textId="3D6103F9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3–6 months</w:t>
            </w:r>
          </w:p>
        </w:tc>
      </w:tr>
      <w:tr w:rsidR="005C4C16" w:rsidRPr="0096724B" w14:paraId="155514D4" w14:textId="77777777" w:rsidTr="005C4C16">
        <w:tc>
          <w:tcPr>
            <w:tcW w:w="3437" w:type="dxa"/>
            <w:tcBorders>
              <w:top w:val="single" w:sz="6" w:space="0" w:color="A3CDE4"/>
              <w:left w:val="nil"/>
              <w:bottom w:val="single" w:sz="6" w:space="0" w:color="A3CDE4"/>
              <w:right w:val="single" w:sz="6" w:space="0" w:color="A3CDE4"/>
            </w:tcBorders>
            <w:hideMark/>
          </w:tcPr>
          <w:p w14:paraId="18252165" w14:textId="77777777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b/>
                <w:bCs/>
                <w:color w:val="4D4D4F"/>
                <w:lang w:eastAsia="en-NZ"/>
              </w:rPr>
              <w:t>Statins</w:t>
            </w:r>
          </w:p>
        </w:tc>
        <w:tc>
          <w:tcPr>
            <w:tcW w:w="5589" w:type="dxa"/>
            <w:tcBorders>
              <w:top w:val="single" w:sz="6" w:space="0" w:color="A3CDE4"/>
              <w:left w:val="single" w:sz="6" w:space="0" w:color="A3CDE4"/>
              <w:bottom w:val="single" w:sz="6" w:space="0" w:color="A3CDE4"/>
              <w:right w:val="nil"/>
            </w:tcBorders>
            <w:hideMark/>
          </w:tcPr>
          <w:p w14:paraId="637EDF9A" w14:textId="7B7B915B" w:rsidR="0096724B" w:rsidRPr="0096724B" w:rsidRDefault="0096724B" w:rsidP="005C4C16">
            <w:pPr>
              <w:spacing w:after="0" w:line="240" w:lineRule="auto"/>
              <w:ind w:left="20" w:right="20"/>
              <w:textAlignment w:val="baseline"/>
              <w:rPr>
                <w:rFonts w:eastAsia="Times New Roman" w:cstheme="minorHAnsi"/>
                <w:color w:val="4D4D4F"/>
                <w:lang w:eastAsia="en-NZ"/>
              </w:rPr>
            </w:pPr>
            <w:r w:rsidRPr="0096724B">
              <w:rPr>
                <w:rFonts w:eastAsia="Times New Roman" w:cstheme="minorHAnsi"/>
                <w:color w:val="4D4D4F"/>
                <w:lang w:eastAsia="en-NZ"/>
              </w:rPr>
              <w:t>12 months, if stable</w:t>
            </w:r>
          </w:p>
        </w:tc>
      </w:tr>
    </w:tbl>
    <w:p w14:paraId="04D7E327" w14:textId="77777777" w:rsidR="005104A7" w:rsidRDefault="005104A7"/>
    <w:sectPr w:rsidR="005104A7" w:rsidSect="005C4C16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CA0"/>
    <w:multiLevelType w:val="hybridMultilevel"/>
    <w:tmpl w:val="ADCC0A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5488"/>
    <w:multiLevelType w:val="multilevel"/>
    <w:tmpl w:val="3542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47A05"/>
    <w:multiLevelType w:val="multilevel"/>
    <w:tmpl w:val="A98048A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2226E"/>
    <w:multiLevelType w:val="multilevel"/>
    <w:tmpl w:val="251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870B2"/>
    <w:multiLevelType w:val="hybridMultilevel"/>
    <w:tmpl w:val="3FECBC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42DA"/>
    <w:multiLevelType w:val="multilevel"/>
    <w:tmpl w:val="A8F68C0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82D6D"/>
    <w:multiLevelType w:val="multilevel"/>
    <w:tmpl w:val="EA5C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47928"/>
    <w:multiLevelType w:val="hybridMultilevel"/>
    <w:tmpl w:val="718C96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8170A"/>
    <w:multiLevelType w:val="hybridMultilevel"/>
    <w:tmpl w:val="42B0CDC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33748">
    <w:abstractNumId w:val="5"/>
  </w:num>
  <w:num w:numId="2" w16cid:durableId="198011336">
    <w:abstractNumId w:val="6"/>
  </w:num>
  <w:num w:numId="3" w16cid:durableId="551813755">
    <w:abstractNumId w:val="3"/>
  </w:num>
  <w:num w:numId="4" w16cid:durableId="845746535">
    <w:abstractNumId w:val="1"/>
  </w:num>
  <w:num w:numId="5" w16cid:durableId="291519484">
    <w:abstractNumId w:val="2"/>
  </w:num>
  <w:num w:numId="6" w16cid:durableId="1407216975">
    <w:abstractNumId w:val="8"/>
  </w:num>
  <w:num w:numId="7" w16cid:durableId="770127211">
    <w:abstractNumId w:val="0"/>
  </w:num>
  <w:num w:numId="8" w16cid:durableId="809203842">
    <w:abstractNumId w:val="7"/>
  </w:num>
  <w:num w:numId="9" w16cid:durableId="549533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4B"/>
    <w:rsid w:val="00016B55"/>
    <w:rsid w:val="000C72F6"/>
    <w:rsid w:val="00183BB8"/>
    <w:rsid w:val="00367D41"/>
    <w:rsid w:val="005104A7"/>
    <w:rsid w:val="005B6AF3"/>
    <w:rsid w:val="005C4C16"/>
    <w:rsid w:val="00625C30"/>
    <w:rsid w:val="006652DE"/>
    <w:rsid w:val="0096724B"/>
    <w:rsid w:val="00AE04F9"/>
    <w:rsid w:val="00B14554"/>
    <w:rsid w:val="00B41B43"/>
    <w:rsid w:val="00D20F90"/>
    <w:rsid w:val="00D7403C"/>
    <w:rsid w:val="00D9658D"/>
    <w:rsid w:val="00DE0FF1"/>
    <w:rsid w:val="00E370D8"/>
    <w:rsid w:val="00F61CB6"/>
    <w:rsid w:val="00F83DF1"/>
    <w:rsid w:val="00F9007F"/>
    <w:rsid w:val="00F90D5A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CCC8"/>
  <w15:chartTrackingRefBased/>
  <w15:docId w15:val="{366465F9-1F8B-4486-BB64-2B6BFBEB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withintopic">
    <w:name w:val="subheadingwithintopic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bodytext">
    <w:name w:val="bodytext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96724B"/>
    <w:rPr>
      <w:b/>
      <w:bCs/>
    </w:rPr>
  </w:style>
  <w:style w:type="paragraph" w:customStyle="1" w:styleId="listbullet">
    <w:name w:val="listbullet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ableheading">
    <w:name w:val="tableheading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ablebodytext">
    <w:name w:val="tablebodytext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ablelistbullet">
    <w:name w:val="tablelistbullet"/>
    <w:basedOn w:val="Normal"/>
    <w:rsid w:val="0096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5C4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747a9-862b-49fa-b0d6-778b3e7e2745">
      <Terms xmlns="http://schemas.microsoft.com/office/infopath/2007/PartnerControls"/>
    </lcf76f155ced4ddcb4097134ff3c332f>
    <TaxCatchAll xmlns="d2341924-98d3-49bf-a0c2-37766e3b31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F644A3DA834DA57A06AE3D51E571" ma:contentTypeVersion="15" ma:contentTypeDescription="Create a new document." ma:contentTypeScope="" ma:versionID="03289df5c551ab46f45311bd9653ee1c">
  <xsd:schema xmlns:xsd="http://www.w3.org/2001/XMLSchema" xmlns:xs="http://www.w3.org/2001/XMLSchema" xmlns:p="http://schemas.microsoft.com/office/2006/metadata/properties" xmlns:ns2="7b9747a9-862b-49fa-b0d6-778b3e7e2745" xmlns:ns3="d2341924-98d3-49bf-a0c2-37766e3b3138" targetNamespace="http://schemas.microsoft.com/office/2006/metadata/properties" ma:root="true" ma:fieldsID="48ee1cfb4535350af430475e7ad24839" ns2:_="" ns3:_="">
    <xsd:import namespace="7b9747a9-862b-49fa-b0d6-778b3e7e2745"/>
    <xsd:import namespace="d2341924-98d3-49bf-a0c2-37766e3b3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47a9-862b-49fa-b0d6-778b3e7e2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55c65-a998-4ed4-b07f-729f13b48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41924-98d3-49bf-a0c2-37766e3b31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1b3394-488b-4eb5-93a1-22addf2f1ed8}" ma:internalName="TaxCatchAll" ma:showField="CatchAllData" ma:web="d2341924-98d3-49bf-a0c2-37766e3b3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F766F-3549-4213-B5FD-82C4531BA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6EB0C-A971-42BB-9981-9BB842B92CF0}">
  <ds:schemaRefs>
    <ds:schemaRef ds:uri="http://schemas.microsoft.com/office/2006/metadata/properties"/>
    <ds:schemaRef ds:uri="http://schemas.microsoft.com/office/infopath/2007/PartnerControls"/>
    <ds:schemaRef ds:uri="7b9747a9-862b-49fa-b0d6-778b3e7e2745"/>
    <ds:schemaRef ds:uri="d2341924-98d3-49bf-a0c2-37766e3b3138"/>
  </ds:schemaRefs>
</ds:datastoreItem>
</file>

<file path=customXml/itemProps3.xml><?xml version="1.0" encoding="utf-8"?>
<ds:datastoreItem xmlns:ds="http://schemas.openxmlformats.org/officeDocument/2006/customXml" ds:itemID="{B5E90FDF-363E-4882-B9EC-F63A3E5F4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47a9-862b-49fa-b0d6-778b3e7e2745"/>
    <ds:schemaRef ds:uri="d2341924-98d3-49bf-a0c2-37766e3b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Repeat Prescribing Guidelines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Repeat Prescribing Guidelines</dc:title>
  <dc:subject/>
  <dc:creator>Bronwyn Cook</dc:creator>
  <cp:keywords/>
  <dc:description/>
  <cp:lastModifiedBy>Bronwyn Cook</cp:lastModifiedBy>
  <cp:revision>2</cp:revision>
  <cp:lastPrinted>2025-11-18T01:39:00Z</cp:lastPrinted>
  <dcterms:created xsi:type="dcterms:W3CDTF">2025-11-18T03:41:00Z</dcterms:created>
  <dcterms:modified xsi:type="dcterms:W3CDTF">2025-11-18T03:41:00Z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0x0101007655F644A3DA834DA57A06AE3D51E571</vt:lpwstr>
  </property>
</Properties>
</file>